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焦宁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szCs w:val="24"/>
                <w:lang w:eastAsia="zh-CN"/>
              </w:rPr>
              <w:t>第八届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太平洋自由基化学研讨会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组委会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，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17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届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亚洲化学大会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组委会</w:t>
            </w:r>
          </w:p>
        </w:tc>
      </w:tr>
      <w:tr w:rsidR="00557994" w:rsidTr="007A20F6">
        <w:trPr>
          <w:trHeight w:hRule="exact" w:val="742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Prof.Steven E. Bottle; Emma Bowyer</w:t>
            </w:r>
          </w:p>
          <w:p w:rsidR="008E7796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7A20F6" w:rsidP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+</w:t>
            </w:r>
            <w:r w:rsidR="008E779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61-7-3138-8822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E7796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澳大利亚</w:t>
            </w:r>
          </w:p>
        </w:tc>
      </w:tr>
      <w:tr w:rsidR="007A20F6" w:rsidTr="0012228A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A20F6" w:rsidRDefault="008E7796" w:rsidP="007A20F6">
            <w:pPr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自</w:t>
            </w:r>
            <w:r>
              <w:rPr>
                <w:rFonts w:eastAsia="楷体_GB2312" w:hint="eastAsia"/>
                <w:sz w:val="24"/>
                <w:lang w:eastAsia="zh-CN"/>
              </w:rPr>
              <w:t>201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1</w:t>
            </w:r>
            <w:r>
              <w:rPr>
                <w:rFonts w:eastAsia="楷体_GB2312"/>
                <w:sz w:val="24"/>
                <w:lang w:eastAsia="zh-CN"/>
              </w:rPr>
              <w:t>8</w:t>
            </w:r>
            <w:r>
              <w:rPr>
                <w:rFonts w:eastAsia="楷体_GB2312" w:hint="eastAsia"/>
                <w:sz w:val="24"/>
                <w:lang w:eastAsia="zh-CN"/>
              </w:rPr>
              <w:t>日至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201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/>
                <w:sz w:val="24"/>
                <w:lang w:eastAsia="zh-CN"/>
              </w:rPr>
              <w:t>27</w:t>
            </w:r>
            <w:r>
              <w:rPr>
                <w:rFonts w:eastAsia="楷体_GB2312" w:hint="eastAsia"/>
                <w:sz w:val="24"/>
                <w:lang w:eastAsia="zh-CN"/>
              </w:rPr>
              <w:t>日共计</w:t>
            </w:r>
            <w:r>
              <w:rPr>
                <w:rFonts w:eastAsia="楷体_GB2312"/>
                <w:sz w:val="24"/>
                <w:lang w:eastAsia="zh-CN"/>
              </w:rPr>
              <w:t>10</w:t>
            </w:r>
            <w:r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7A20F6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A20F6" w:rsidRDefault="007A20F6" w:rsidP="007A20F6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0F6" w:rsidRDefault="007A20F6" w:rsidP="007A20F6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7A20F6" w:rsidRDefault="007A20F6" w:rsidP="007A20F6">
            <w:pPr>
              <w:rPr>
                <w:lang w:eastAsia="zh-CN"/>
              </w:rPr>
            </w:pPr>
          </w:p>
        </w:tc>
      </w:tr>
      <w:tr w:rsidR="007A20F6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8E7796" w:rsidP="007A20F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第八届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太平洋自由基化学研讨会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和第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17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届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亚洲化学大会</w:t>
            </w:r>
          </w:p>
        </w:tc>
      </w:tr>
      <w:tr w:rsidR="007A20F6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7A20F6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7A20F6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8E7796" w:rsidP="000C6B88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OLE_LINK187"/>
            <w:r>
              <w:rPr>
                <w:rFonts w:eastAsia="楷体_GB2312" w:hint="eastAsia"/>
                <w:sz w:val="24"/>
              </w:rPr>
              <w:t>北医</w:t>
            </w:r>
            <w:r>
              <w:rPr>
                <w:rFonts w:eastAsia="楷体_GB2312"/>
                <w:sz w:val="24"/>
              </w:rPr>
              <w:t>人才项目</w:t>
            </w:r>
            <w:r w:rsidRPr="00F80DDA">
              <w:rPr>
                <w:rFonts w:eastAsia="楷体_GB2312"/>
                <w:sz w:val="24"/>
              </w:rPr>
              <w:t>BMU20160541</w:t>
            </w:r>
            <w:bookmarkEnd w:id="0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spacing w:val="-1"/>
                <w:lang w:eastAsia="zh-CN"/>
              </w:rPr>
              <w:t>科研经费</w:t>
            </w:r>
          </w:p>
        </w:tc>
      </w:tr>
      <w:tr w:rsidR="007A20F6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8E779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</w:rPr>
              <w:t>北医</w:t>
            </w:r>
            <w:r>
              <w:rPr>
                <w:rFonts w:eastAsia="楷体_GB2312"/>
                <w:sz w:val="24"/>
              </w:rPr>
              <w:t>人才项目</w:t>
            </w:r>
            <w:r w:rsidRPr="00F80DDA">
              <w:rPr>
                <w:rFonts w:eastAsia="楷体_GB2312"/>
                <w:sz w:val="24"/>
              </w:rPr>
              <w:t>BMU20160541</w:t>
            </w:r>
            <w:bookmarkStart w:id="1" w:name="_GoBack"/>
            <w:bookmarkEnd w:id="1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r>
              <w:rPr>
                <w:spacing w:val="-1"/>
                <w:lang w:eastAsia="zh-CN"/>
              </w:rPr>
              <w:t>科研经费</w:t>
            </w:r>
          </w:p>
        </w:tc>
      </w:tr>
      <w:tr w:rsidR="007A20F6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A20F6" w:rsidRDefault="007A20F6" w:rsidP="007A20F6"/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A20F6" w:rsidRDefault="008D1355" w:rsidP="007A20F6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2017.4.18-2017.4.24</w:t>
            </w:r>
          </w:p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□邀请函□邀请方情况□行程安排□航班信息□团组名单□其他：</w:t>
            </w:r>
          </w:p>
        </w:tc>
      </w:tr>
      <w:tr w:rsidR="007A20F6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7A20F6" w:rsidRDefault="007A20F6" w:rsidP="007A20F6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7A20F6" w:rsidRDefault="007A20F6" w:rsidP="007A20F6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8D1355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8D1355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  <w:r w:rsidR="008D1355">
              <w:rPr>
                <w:rFonts w:ascii="宋体" w:eastAsia="宋体" w:hAnsi="宋体" w:cs="宋体" w:hint="eastAsia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82805656</w:t>
            </w:r>
          </w:p>
          <w:p w:rsidR="007A20F6" w:rsidRDefault="007A20F6" w:rsidP="007A20F6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7A20F6" w:rsidRDefault="007A20F6" w:rsidP="007A20F6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7A20F6" w:rsidRDefault="007A20F6" w:rsidP="007A20F6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61" w:rsidRDefault="00A43061" w:rsidP="00036431">
      <w:r>
        <w:separator/>
      </w:r>
    </w:p>
  </w:endnote>
  <w:endnote w:type="continuationSeparator" w:id="1">
    <w:p w:rsidR="00A43061" w:rsidRDefault="00A43061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61" w:rsidRDefault="00A43061" w:rsidP="00036431">
      <w:r>
        <w:separator/>
      </w:r>
    </w:p>
  </w:footnote>
  <w:footnote w:type="continuationSeparator" w:id="1">
    <w:p w:rsidR="00A43061" w:rsidRDefault="00A43061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C6B88"/>
    <w:rsid w:val="00115039"/>
    <w:rsid w:val="001F4EC7"/>
    <w:rsid w:val="00207482"/>
    <w:rsid w:val="00487E76"/>
    <w:rsid w:val="004C7F79"/>
    <w:rsid w:val="004E4F4E"/>
    <w:rsid w:val="00557994"/>
    <w:rsid w:val="007A0EDD"/>
    <w:rsid w:val="007A20F6"/>
    <w:rsid w:val="00844FB7"/>
    <w:rsid w:val="008D1355"/>
    <w:rsid w:val="008D68F6"/>
    <w:rsid w:val="008E7796"/>
    <w:rsid w:val="00902EFC"/>
    <w:rsid w:val="00A102E4"/>
    <w:rsid w:val="00A43061"/>
    <w:rsid w:val="00AF45CC"/>
    <w:rsid w:val="00B4782F"/>
    <w:rsid w:val="00B65C84"/>
    <w:rsid w:val="00C12C79"/>
    <w:rsid w:val="00C2581F"/>
    <w:rsid w:val="00C90601"/>
    <w:rsid w:val="00D119F6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11</cp:revision>
  <dcterms:created xsi:type="dcterms:W3CDTF">2016-10-26T08:24:00Z</dcterms:created>
  <dcterms:modified xsi:type="dcterms:W3CDTF">2017-04-18T02:30:00Z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